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87A4D18">
      <w:pPr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网络效应：病毒效应</w:t>
      </w:r>
    </w:p>
    <w:p w14:paraId="7962B52E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人们如何了解一种新产品和文化商品，网络结构对于传播过程有什么影响。</w:t>
      </w:r>
    </w:p>
    <w:p w14:paraId="1F6CCFBF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网络结构对于网络的各种效应具有重要作用，社会关系网络如果存在大量的紧密链接，则很难避免病毒传染。</w:t>
      </w:r>
    </w:p>
    <w:p w14:paraId="333F86C2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图是一种表示网络结构的组织形式</w:t>
      </w:r>
    </w:p>
    <w:p w14:paraId="7DE76024">
      <w:pPr>
        <w:rPr>
          <w:rFonts w:hint="eastAsia"/>
          <w:b w:val="0"/>
          <w:bCs w:val="0"/>
          <w:lang w:val="en-US" w:eastAsia="zh-CN"/>
        </w:rPr>
      </w:pPr>
    </w:p>
    <w:p w14:paraId="6C845CC4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特殊的网络结构：</w:t>
      </w:r>
    </w:p>
    <w:p w14:paraId="052D8D86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二部图：网络具有两个类型的节点，链接关系只存在同类型节点</w:t>
      </w:r>
    </w:p>
    <w:p w14:paraId="173B4280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折叠图：可以由二部图生成，金融资产，作者合作网络</w:t>
      </w:r>
    </w:p>
    <w:p w14:paraId="30CC3B9C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异构图：图中的节点以及链接可以有多个类型</w:t>
      </w:r>
    </w:p>
    <w:p w14:paraId="657453AD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图学习：将机器学习应用于社会网络数据，网络中的节点规模是可控的，网络中的拓扑结构的复杂的。</w:t>
      </w:r>
    </w:p>
    <w:p w14:paraId="6B813118">
      <w:pPr>
        <w:rPr>
          <w:rFonts w:hint="eastAsia"/>
          <w:b w:val="0"/>
          <w:bCs w:val="0"/>
          <w:lang w:val="en-US" w:eastAsia="zh-CN"/>
        </w:rPr>
      </w:pPr>
    </w:p>
    <w:p w14:paraId="1658E937">
      <w:pPr>
        <w:rPr>
          <w:rFonts w:hint="eastAsia"/>
          <w:b w:val="0"/>
          <w:bCs w:val="0"/>
          <w:lang w:val="en-US" w:eastAsia="zh-CN"/>
        </w:rPr>
      </w:pPr>
    </w:p>
    <w:p w14:paraId="11FE711B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两个节点之间的联系以及可能发展的联系</w:t>
      </w:r>
    </w:p>
    <w:p w14:paraId="7CA315DB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特殊的链接预测--推荐系统</w:t>
      </w:r>
    </w:p>
    <w:p w14:paraId="11FDB37F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社区划分以及社区检测以及发现</w:t>
      </w:r>
    </w:p>
    <w:p w14:paraId="1527EA69">
      <w:pPr>
        <w:rPr>
          <w:rFonts w:hint="eastAsia"/>
          <w:b w:val="0"/>
          <w:bCs w:val="0"/>
          <w:lang w:val="en-US" w:eastAsia="zh-CN"/>
        </w:rPr>
      </w:pPr>
    </w:p>
    <w:p w14:paraId="164A97C3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课程模块：</w:t>
      </w:r>
    </w:p>
    <w:p w14:paraId="1D6DF281">
      <w:pPr>
        <w:rPr>
          <w:rFonts w:hint="eastAsia"/>
          <w:b w:val="0"/>
          <w:bCs w:val="0"/>
          <w:highlight w:val="yellow"/>
          <w:lang w:val="en-US" w:eastAsia="zh-CN"/>
        </w:rPr>
      </w:pPr>
      <w:r>
        <w:rPr>
          <w:rFonts w:hint="eastAsia"/>
          <w:b w:val="0"/>
          <w:bCs w:val="0"/>
          <w:highlight w:val="yellow"/>
          <w:lang w:val="en-US" w:eastAsia="zh-CN"/>
        </w:rPr>
        <w:t>图论与网络属性</w:t>
      </w:r>
    </w:p>
    <w:p w14:paraId="500B925F">
      <w:pPr>
        <w:rPr>
          <w:rFonts w:hint="eastAsia"/>
          <w:b w:val="0"/>
          <w:bCs w:val="0"/>
          <w:highlight w:val="yellow"/>
          <w:lang w:val="en-US" w:eastAsia="zh-CN"/>
        </w:rPr>
      </w:pPr>
      <w:r>
        <w:rPr>
          <w:rFonts w:hint="eastAsia"/>
          <w:b w:val="0"/>
          <w:bCs w:val="0"/>
          <w:highlight w:val="yellow"/>
          <w:lang w:val="en-US" w:eastAsia="zh-CN"/>
        </w:rPr>
        <w:t>社会选择与社会影响</w:t>
      </w:r>
    </w:p>
    <w:p w14:paraId="22DB423C">
      <w:pPr>
        <w:rPr>
          <w:rFonts w:hint="eastAsia"/>
          <w:b w:val="0"/>
          <w:bCs w:val="0"/>
          <w:highlight w:val="yellow"/>
          <w:lang w:val="en-US" w:eastAsia="zh-CN"/>
        </w:rPr>
      </w:pPr>
      <w:r>
        <w:rPr>
          <w:rFonts w:hint="eastAsia"/>
          <w:b w:val="0"/>
          <w:bCs w:val="0"/>
          <w:highlight w:val="yellow"/>
          <w:lang w:val="en-US" w:eastAsia="zh-CN"/>
        </w:rPr>
        <w:t>链接分析以及网络搜索</w:t>
      </w:r>
    </w:p>
    <w:p w14:paraId="67768567">
      <w:pPr>
        <w:rPr>
          <w:rFonts w:hint="eastAsia"/>
          <w:b w:val="0"/>
          <w:bCs w:val="0"/>
          <w:highlight w:val="yellow"/>
          <w:lang w:val="en-US" w:eastAsia="zh-CN"/>
        </w:rPr>
      </w:pPr>
      <w:r>
        <w:rPr>
          <w:rFonts w:hint="eastAsia"/>
          <w:b w:val="0"/>
          <w:bCs w:val="0"/>
          <w:highlight w:val="yellow"/>
          <w:lang w:val="en-US" w:eastAsia="zh-CN"/>
        </w:rPr>
        <w:t>从众行为和事物的流行性</w:t>
      </w:r>
    </w:p>
    <w:p w14:paraId="1AFAF15C">
      <w:pPr>
        <w:rPr>
          <w:rFonts w:hint="eastAsia"/>
          <w:b w:val="0"/>
          <w:bCs w:val="0"/>
          <w:highlight w:val="yellow"/>
          <w:lang w:val="en-US" w:eastAsia="zh-CN"/>
        </w:rPr>
      </w:pPr>
      <w:r>
        <w:rPr>
          <w:rFonts w:hint="eastAsia"/>
          <w:b w:val="0"/>
          <w:bCs w:val="0"/>
          <w:highlight w:val="yellow"/>
          <w:lang w:val="en-US" w:eastAsia="zh-CN"/>
        </w:rPr>
        <w:t>新事物在网络中的扩散</w:t>
      </w:r>
    </w:p>
    <w:p w14:paraId="76BD8EB2">
      <w:pPr>
        <w:rPr>
          <w:rFonts w:hint="eastAsia"/>
          <w:b w:val="0"/>
          <w:bCs w:val="0"/>
          <w:highlight w:val="yellow"/>
          <w:lang w:val="en-US" w:eastAsia="zh-CN"/>
        </w:rPr>
      </w:pPr>
      <w:r>
        <w:rPr>
          <w:rFonts w:hint="eastAsia"/>
          <w:b w:val="0"/>
          <w:bCs w:val="0"/>
          <w:highlight w:val="yellow"/>
          <w:lang w:val="en-US" w:eastAsia="zh-CN"/>
        </w:rPr>
        <w:t>给予概率的流行病模型</w:t>
      </w:r>
    </w:p>
    <w:p w14:paraId="130E8A3B">
      <w:pPr>
        <w:rPr>
          <w:rFonts w:hint="eastAsia"/>
          <w:b w:val="0"/>
          <w:bCs w:val="0"/>
          <w:highlight w:val="yellow"/>
          <w:lang w:val="en-US" w:eastAsia="zh-CN"/>
        </w:rPr>
      </w:pPr>
      <w:r>
        <w:rPr>
          <w:rFonts w:hint="eastAsia"/>
          <w:b w:val="0"/>
          <w:bCs w:val="0"/>
          <w:highlight w:val="yellow"/>
          <w:lang w:val="en-US" w:eastAsia="zh-CN"/>
        </w:rPr>
        <w:t>节点影响力</w:t>
      </w:r>
    </w:p>
    <w:p w14:paraId="271EBD27">
      <w:pPr>
        <w:rPr>
          <w:rFonts w:hint="eastAsia"/>
          <w:b w:val="0"/>
          <w:bCs w:val="0"/>
          <w:highlight w:val="yellow"/>
          <w:lang w:val="en-US" w:eastAsia="zh-CN"/>
        </w:rPr>
      </w:pPr>
      <w:r>
        <w:rPr>
          <w:rFonts w:hint="eastAsia"/>
          <w:b w:val="0"/>
          <w:bCs w:val="0"/>
          <w:highlight w:val="yellow"/>
          <w:lang w:val="en-US" w:eastAsia="zh-CN"/>
        </w:rPr>
        <w:t>链接预测</w:t>
      </w:r>
    </w:p>
    <w:p w14:paraId="317D6584">
      <w:pPr>
        <w:rPr>
          <w:rFonts w:hint="eastAsia"/>
          <w:b w:val="0"/>
          <w:bCs w:val="0"/>
          <w:highlight w:val="yellow"/>
          <w:lang w:val="en-US" w:eastAsia="zh-CN"/>
        </w:rPr>
      </w:pPr>
    </w:p>
    <w:p w14:paraId="70BA9193">
      <w:pPr>
        <w:numPr>
          <w:ilvl w:val="0"/>
          <w:numId w:val="1"/>
        </w:numPr>
        <w:rPr>
          <w:rFonts w:hint="eastAsia"/>
          <w:b w:val="0"/>
          <w:bCs w:val="0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图论</w:t>
      </w:r>
    </w:p>
    <w:p w14:paraId="6735DF21">
      <w:pPr>
        <w:jc w:val="center"/>
      </w:pPr>
      <w:r>
        <w:drawing>
          <wp:inline distT="0" distB="0" distL="114300" distR="114300">
            <wp:extent cx="3387725" cy="1950085"/>
            <wp:effectExtent l="0" t="0" r="3175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87725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D4EE2"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其中分别表示为无向无权网络,有向无权网络,无向有权网络以及自连接网络.</w:t>
      </w:r>
    </w:p>
    <w:p w14:paraId="7295AAB0">
      <w:p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lang w:val="en-US" w:eastAsia="zh-CN"/>
        </w:rPr>
        <w:t>分别注意其中的矩阵表示.无向表示双向</w:t>
      </w:r>
      <w:r>
        <w:rPr>
          <w:rFonts w:hint="eastAsia"/>
          <w:b w:val="0"/>
          <w:bCs w:val="0"/>
          <w:lang w:val="en-US" w:eastAsia="zh-CN"/>
        </w:rPr>
        <w:t>。注意其中的加权网络的权重是需要表示出来的。</w:t>
      </w:r>
    </w:p>
    <w:p w14:paraId="58CFA3B3">
      <w:pPr>
        <w:jc w:val="both"/>
        <w:rPr>
          <w:rFonts w:hint="default"/>
          <w:b w:val="0"/>
          <w:bCs w:val="0"/>
          <w:lang w:val="en-US" w:eastAsia="zh-CN"/>
        </w:rPr>
      </w:pPr>
    </w:p>
    <w:p w14:paraId="608D7169">
      <w:pPr>
        <w:jc w:val="both"/>
        <w:rPr>
          <w:rFonts w:hint="default"/>
          <w:b w:val="0"/>
          <w:bCs w:val="0"/>
          <w:lang w:val="en-US" w:eastAsia="zh-CN"/>
        </w:rPr>
      </w:pPr>
    </w:p>
    <w:p w14:paraId="3218CA5D">
      <w:pPr>
        <w:jc w:val="center"/>
      </w:pPr>
      <w:r>
        <w:drawing>
          <wp:inline distT="0" distB="0" distL="114300" distR="114300">
            <wp:extent cx="3870960" cy="2186940"/>
            <wp:effectExtent l="0" t="0" r="152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CA53E">
      <w:pPr>
        <w:jc w:val="center"/>
      </w:pPr>
      <w:r>
        <w:drawing>
          <wp:inline distT="0" distB="0" distL="114300" distR="114300">
            <wp:extent cx="3438525" cy="216217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0F9C6">
      <w:pPr>
        <w:jc w:val="center"/>
      </w:pPr>
      <w:r>
        <w:drawing>
          <wp:inline distT="0" distB="0" distL="114300" distR="114300">
            <wp:extent cx="3502660" cy="2218055"/>
            <wp:effectExtent l="0" t="0" r="2540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02660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7540C"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注意联通网络的矩阵形式，不连通是形成了分块矩阵。</w:t>
      </w:r>
    </w:p>
    <w:p w14:paraId="30D24A49">
      <w:pPr>
        <w:jc w:val="center"/>
      </w:pPr>
      <w:r>
        <w:drawing>
          <wp:inline distT="0" distB="0" distL="114300" distR="114300">
            <wp:extent cx="3422650" cy="2178685"/>
            <wp:effectExtent l="0" t="0" r="6350" b="120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22650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2E8CE"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其中除了L的其他数字公式表示最大的邻居节点的最大的连边数量就是度</w:t>
      </w:r>
    </w:p>
    <w:p w14:paraId="03762201">
      <w:pPr>
        <w:numPr>
          <w:ilvl w:val="0"/>
          <w:numId w:val="1"/>
        </w:numPr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网络的基本静态特征</w:t>
      </w:r>
    </w:p>
    <w:p w14:paraId="61794C1E">
      <w:pPr>
        <w:jc w:val="center"/>
      </w:pPr>
      <w:r>
        <w:drawing>
          <wp:inline distT="0" distB="0" distL="114300" distR="114300">
            <wp:extent cx="3855720" cy="2292985"/>
            <wp:effectExtent l="0" t="0" r="11430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87E43">
      <w:pPr>
        <w:jc w:val="center"/>
      </w:pPr>
      <w:r>
        <w:drawing>
          <wp:inline distT="0" distB="0" distL="114300" distR="114300">
            <wp:extent cx="3552825" cy="21431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D224C">
      <w:pPr>
        <w:jc w:val="center"/>
      </w:pPr>
      <w:r>
        <w:drawing>
          <wp:inline distT="0" distB="0" distL="114300" distR="114300">
            <wp:extent cx="3362960" cy="2273300"/>
            <wp:effectExtent l="0" t="0" r="8890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6296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A2DE5">
      <w:pPr>
        <w:jc w:val="center"/>
      </w:pPr>
      <w:r>
        <w:drawing>
          <wp:inline distT="0" distB="0" distL="114300" distR="114300">
            <wp:extent cx="3312795" cy="2055495"/>
            <wp:effectExtent l="0" t="0" r="1905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12795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DCC91"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Possion分布是离散分布，同时和正态长得差不多</w:t>
      </w:r>
    </w:p>
    <w:p w14:paraId="2FD8E530">
      <w:pPr>
        <w:jc w:val="center"/>
      </w:pPr>
      <w:r>
        <w:drawing>
          <wp:inline distT="0" distB="0" distL="114300" distR="114300">
            <wp:extent cx="3542665" cy="2277745"/>
            <wp:effectExtent l="0" t="0" r="635" b="825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42665" cy="22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77A2E">
      <w:pPr>
        <w:jc w:val="center"/>
      </w:pPr>
    </w:p>
    <w:p w14:paraId="20ECDA34">
      <w:pPr>
        <w:jc w:val="center"/>
      </w:pPr>
      <w:r>
        <w:drawing>
          <wp:inline distT="0" distB="0" distL="114300" distR="114300">
            <wp:extent cx="3072130" cy="2041525"/>
            <wp:effectExtent l="0" t="0" r="13970" b="1587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72130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E420D">
      <w:pPr>
        <w:jc w:val="center"/>
      </w:pPr>
      <w:r>
        <w:drawing>
          <wp:inline distT="0" distB="0" distL="114300" distR="114300">
            <wp:extent cx="3609340" cy="2384425"/>
            <wp:effectExtent l="0" t="0" r="10160" b="1587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C41E8">
      <w:pPr>
        <w:jc w:val="center"/>
      </w:pPr>
      <w:r>
        <w:drawing>
          <wp:inline distT="0" distB="0" distL="114300" distR="114300">
            <wp:extent cx="3717290" cy="2022475"/>
            <wp:effectExtent l="0" t="0" r="16510" b="15875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17290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90D66">
      <w:pPr>
        <w:jc w:val="center"/>
      </w:pPr>
      <w:r>
        <w:drawing>
          <wp:inline distT="0" distB="0" distL="114300" distR="114300">
            <wp:extent cx="3856990" cy="2298700"/>
            <wp:effectExtent l="0" t="0" r="10160" b="6350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A61DD">
      <w:pPr>
        <w:jc w:val="center"/>
      </w:pPr>
      <w:r>
        <w:drawing>
          <wp:inline distT="0" distB="0" distL="114300" distR="114300">
            <wp:extent cx="3594735" cy="2101850"/>
            <wp:effectExtent l="0" t="0" r="5715" b="12700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94735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F07F0">
      <w:pPr>
        <w:jc w:val="center"/>
      </w:pPr>
      <w:r>
        <w:drawing>
          <wp:inline distT="0" distB="0" distL="114300" distR="114300">
            <wp:extent cx="3880485" cy="2352040"/>
            <wp:effectExtent l="0" t="0" r="5715" b="1016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80485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C24CF">
      <w:pPr>
        <w:jc w:val="center"/>
      </w:pPr>
      <w:r>
        <w:drawing>
          <wp:inline distT="0" distB="0" distL="114300" distR="114300">
            <wp:extent cx="3141345" cy="2057400"/>
            <wp:effectExtent l="0" t="0" r="1905" b="0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4134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F090D">
      <w:pPr>
        <w:jc w:val="center"/>
      </w:pPr>
      <w:r>
        <w:drawing>
          <wp:inline distT="0" distB="0" distL="114300" distR="114300">
            <wp:extent cx="3504565" cy="2207895"/>
            <wp:effectExtent l="0" t="0" r="635" b="1905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04565" cy="220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AE89B">
      <w:p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3544570" cy="1900555"/>
            <wp:effectExtent l="0" t="0" r="17780" b="4445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44570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DFD1700"/>
    <w:multiLevelType w:val="singleLevel"/>
    <w:tmpl w:val="8DFD170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7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C324B95"/>
    <w:rsid w:val="1B5420B3"/>
    <w:rsid w:val="240E24B8"/>
    <w:rsid w:val="27FF6CE8"/>
    <w:rsid w:val="28A95D87"/>
    <w:rsid w:val="37D03331"/>
    <w:rsid w:val="39335925"/>
    <w:rsid w:val="39E9692C"/>
    <w:rsid w:val="3DF6F75D"/>
    <w:rsid w:val="45D1274E"/>
    <w:rsid w:val="45E7CD8D"/>
    <w:rsid w:val="4677531C"/>
    <w:rsid w:val="4BFA0E77"/>
    <w:rsid w:val="50F93F41"/>
    <w:rsid w:val="643832AE"/>
    <w:rsid w:val="65F998C7"/>
    <w:rsid w:val="6B6F1AE7"/>
    <w:rsid w:val="6DD048FC"/>
    <w:rsid w:val="6FFFDB8E"/>
    <w:rsid w:val="7B845591"/>
    <w:rsid w:val="7BF7E531"/>
    <w:rsid w:val="7C88502F"/>
    <w:rsid w:val="7D562F5D"/>
    <w:rsid w:val="7D7F8B6C"/>
    <w:rsid w:val="7DFEE71E"/>
    <w:rsid w:val="7FF43134"/>
    <w:rsid w:val="99DF4093"/>
    <w:rsid w:val="BF7DE941"/>
    <w:rsid w:val="BFDE5FE4"/>
    <w:rsid w:val="D7763620"/>
    <w:rsid w:val="D7F77C1B"/>
    <w:rsid w:val="F7BF3721"/>
    <w:rsid w:val="FB340EA9"/>
    <w:rsid w:val="FBABD48B"/>
    <w:rsid w:val="FFEBAE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506</Words>
  <Characters>513</Characters>
  <Lines>0</Lines>
  <Paragraphs>0</Paragraphs>
  <TotalTime>16</TotalTime>
  <ScaleCrop>false</ScaleCrop>
  <LinksUpToDate>false</LinksUpToDate>
  <CharactersWithSpaces>513</CharactersWithSpaces>
  <Application>WPS Office_12.1.0.19770_F1E327BC-269C-435d-A152-05C5408002CA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2025-02-20T11:10:00Z</dcterms:created>
  <dc:creator>Data</dc:creator>
  <cp:lastModifiedBy>丝血反杀闰土的猹</cp:lastModifiedBy>
  <dcterms:modified xsi:type="dcterms:W3CDTF">2025-03-11T07:10:21Z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2052-12.1.0.19770</vt:lpwstr>
  </property>
  <property fmtid="{D5CDD505-2E9C-101B-9397-08002B2CF9AE}" pid="3" name="ICV">
    <vt:lpwstr>CAE5DF642D4C2298B99DB667BD00878D_42</vt:lpwstr>
  </property>
  <property fmtid="{D5CDD505-2E9C-101B-9397-08002B2CF9AE}" pid="4" name="KSOTemplateDocerSaveRecord">
    <vt:lpwstr>eyJoZGlkIjoiNDMyMzQzNjBkYTA3ODJkYjQwM2QxZjQzOGYxZGU0ZDAiLCJ1c2VySWQiOiIxMDUyMjI4MjYwIn0=</vt:lpwstr>
  </property>
</Properties>
</file>